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785"/>
        <w:gridCol w:w="3420"/>
        <w:gridCol w:w="3150"/>
      </w:tblGrid>
      <w:tr w:rsidR="00E268FA" w:rsidRPr="00E268FA" w14:paraId="1E9834A8" w14:textId="77777777" w:rsidTr="008065AC">
        <w:trPr>
          <w:cantSplit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1095895" w14:textId="77777777" w:rsidR="00E268FA" w:rsidRPr="00E268FA" w:rsidRDefault="00E268FA" w:rsidP="00E268FA">
            <w:pPr>
              <w:jc w:val="center"/>
              <w:rPr>
                <w:b/>
              </w:rPr>
            </w:pPr>
            <w:r w:rsidRPr="00E268FA">
              <w:rPr>
                <w:b/>
              </w:rPr>
              <w:t>Meter-level KPIs</w:t>
            </w:r>
          </w:p>
        </w:tc>
      </w:tr>
      <w:tr w:rsidR="00E268FA" w:rsidRPr="00E268FA" w14:paraId="5FF6FA7D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5028D36B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Checkpoint/Metric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4943872A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EMIS View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3EA52130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 xml:space="preserve">What to look for </w:t>
            </w:r>
          </w:p>
        </w:tc>
      </w:tr>
      <w:tr w:rsidR="00E268FA" w:rsidRPr="00E268FA" w14:paraId="3CE4AC07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754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Annual Energy use with normalizing factors such as gross floor area and CDD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5BB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Annual Energy Use Intensity (EUI) in kWh/m</w:t>
            </w:r>
            <w:r w:rsidRPr="00E268FA">
              <w:rPr>
                <w:rFonts w:eastAsia="Calibri" w:cs="Arial"/>
                <w:vertAlign w:val="superscript"/>
              </w:rPr>
              <w:t>2</w:t>
            </w:r>
            <w:r w:rsidRPr="00E268FA">
              <w:rPr>
                <w:rFonts w:eastAsia="Calibri" w:cs="Arial"/>
              </w:rPr>
              <w:t xml:space="preserve"> or by fuel Energy Star portfolio manager benchmark score to gauge climate-normalized performance relative to peers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7A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Rank portfolio and review outliers</w:t>
            </w:r>
          </w:p>
          <w:p w14:paraId="6E1BD5C4" w14:textId="77777777" w:rsidR="00E268FA" w:rsidRPr="00E268FA" w:rsidRDefault="00E268FA" w:rsidP="00E268FA">
            <w:pPr>
              <w:rPr>
                <w:rFonts w:eastAsia="Calibri" w:cs="Arial"/>
              </w:rPr>
            </w:pPr>
          </w:p>
        </w:tc>
      </w:tr>
      <w:tr w:rsidR="00E268FA" w:rsidRPr="00E268FA" w14:paraId="59E6B784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4AB5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Monthly Energy use with normalizing factors such as gross floor area and CDD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C42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Monthly EUI in kWh/m</w:t>
            </w:r>
            <w:r w:rsidRPr="00E268FA">
              <w:rPr>
                <w:rFonts w:eastAsia="Calibri" w:cs="Arial"/>
                <w:vertAlign w:val="superscript"/>
              </w:rPr>
              <w:t>2</w:t>
            </w:r>
            <w:r w:rsidRPr="00E268FA">
              <w:rPr>
                <w:rFonts w:eastAsia="Calibri" w:cs="Arial"/>
              </w:rPr>
              <w:t xml:space="preserve"> or by fuel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705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Compare to previous month or previous year of the same month</w:t>
            </w:r>
          </w:p>
        </w:tc>
      </w:tr>
      <w:tr w:rsidR="00E268FA" w:rsidRPr="00E268FA" w14:paraId="41326726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5FA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Daily electricity KPI:</w:t>
            </w:r>
          </w:p>
          <w:p w14:paraId="4126D530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(Total bldg. kWh/day)</w:t>
            </w:r>
            <w:proofErr w:type="gramStart"/>
            <w:r w:rsidRPr="00E268FA">
              <w:rPr>
                <w:rFonts w:eastAsia="Calibri" w:cs="Arial"/>
              </w:rPr>
              <w:t>/(</w:t>
            </w:r>
            <w:proofErr w:type="gramEnd"/>
            <w:r w:rsidRPr="00E268FA">
              <w:rPr>
                <w:rFonts w:eastAsia="Calibri" w:cs="Arial"/>
              </w:rPr>
              <w:t>Avg. daily outdoor air temperature)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6337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Min/max/average/current daily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F81E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Establish Facility benchmarks after commissioning</w:t>
            </w:r>
          </w:p>
        </w:tc>
      </w:tr>
      <w:tr w:rsidR="00E268FA" w:rsidRPr="00E268FA" w14:paraId="2E2DABF4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E4E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Daily gas KPI:</w:t>
            </w:r>
          </w:p>
          <w:p w14:paraId="6E78A84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(Total </w:t>
            </w:r>
            <w:proofErr w:type="spellStart"/>
            <w:r w:rsidRPr="00E268FA">
              <w:rPr>
                <w:rFonts w:eastAsia="Calibri" w:cs="Arial"/>
              </w:rPr>
              <w:t>therms</w:t>
            </w:r>
            <w:proofErr w:type="spellEnd"/>
            <w:r w:rsidRPr="00E268FA">
              <w:rPr>
                <w:rFonts w:eastAsia="Calibri" w:cs="Arial"/>
              </w:rPr>
              <w:t>/day)</w:t>
            </w:r>
            <w:proofErr w:type="gramStart"/>
            <w:r w:rsidRPr="00E268FA">
              <w:rPr>
                <w:rFonts w:eastAsia="Calibri" w:cs="Arial"/>
              </w:rPr>
              <w:t>/(</w:t>
            </w:r>
            <w:proofErr w:type="gramEnd"/>
            <w:r w:rsidRPr="00E268FA">
              <w:rPr>
                <w:rFonts w:eastAsia="Calibri" w:cs="Arial"/>
              </w:rPr>
              <w:t>Avg. daily outdoor air temperature)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FD57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Min/max/average/current daily reading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B4C5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Establish Facility benchmarks after commissioning</w:t>
            </w:r>
          </w:p>
        </w:tc>
      </w:tr>
      <w:tr w:rsidR="00E268FA" w:rsidRPr="00E268FA" w14:paraId="5F8749C0" w14:textId="77777777" w:rsidTr="008065AC">
        <w:trPr>
          <w:cantSplit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92A86EF" w14:textId="77777777" w:rsidR="00E268FA" w:rsidRPr="00E268FA" w:rsidRDefault="00E268FA" w:rsidP="00E268FA">
            <w:pPr>
              <w:jc w:val="center"/>
              <w:rPr>
                <w:b/>
              </w:rPr>
            </w:pPr>
            <w:r w:rsidRPr="00E268FA">
              <w:rPr>
                <w:b/>
              </w:rPr>
              <w:t xml:space="preserve">Meter-level Analytics </w:t>
            </w:r>
          </w:p>
        </w:tc>
      </w:tr>
      <w:tr w:rsidR="00E268FA" w:rsidRPr="00E268FA" w14:paraId="45B8AD0F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64253D2A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Checkpoint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03A85C1D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EMIS View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6CE26E91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What to look for</w:t>
            </w:r>
          </w:p>
        </w:tc>
      </w:tr>
      <w:tr w:rsidR="00E268FA" w:rsidRPr="00E268FA" w14:paraId="2DDC5592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E001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Schedules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721C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Use heat map and/or load profile graphs with filtering for weekday/weekend/holiday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DA8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Confirm that time-of-day schedules meet the current Facility requirements. Check weekends and holidays for scheduling improvement opportunities</w:t>
            </w:r>
          </w:p>
        </w:tc>
      </w:tr>
      <w:tr w:rsidR="00E268FA" w:rsidRPr="00E268FA" w14:paraId="75806212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D1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Base load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D658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Use heat map and/or load profile graphs with filtering for weekday/weekend/holiday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BF0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Compare to the peak load to assess the after-hour setback</w:t>
            </w:r>
          </w:p>
          <w:p w14:paraId="7F2CD1FA" w14:textId="77777777" w:rsidR="00E268FA" w:rsidRPr="00E268FA" w:rsidRDefault="00E268FA" w:rsidP="00E268FA">
            <w:pPr>
              <w:rPr>
                <w:rFonts w:eastAsia="Calibri" w:cs="Arial"/>
              </w:rPr>
            </w:pPr>
          </w:p>
        </w:tc>
      </w:tr>
      <w:tr w:rsidR="00E268FA" w:rsidRPr="00E268FA" w14:paraId="0F613C19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F4A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Energy signature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A25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Hourly Energy consumption vs. hourly outside air temperature (or daily Energy consumption vs. degree-days). Some EMIS automatically compare the Energy signature metrics to industry benchmarks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0435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Weather-dependency of loads, balance point temperature at which heating or cooling starts, and base load. High heating Energy use in summer may be associated with simultaneous heating and cooling</w:t>
            </w:r>
          </w:p>
        </w:tc>
      </w:tr>
      <w:tr w:rsidR="00E268FA" w:rsidRPr="00E268FA" w14:paraId="74F9D287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5291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Load shape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4318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24-hour demand plot, min/max/avg. by day type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AEF5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Start time, stop time, weekend, and holiday scheduling</w:t>
            </w:r>
          </w:p>
        </w:tc>
      </w:tr>
      <w:tr w:rsidR="00E268FA" w:rsidRPr="00E268FA" w14:paraId="0CD09E64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89F8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Energy anomaly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AB8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Flag when Energy use is outside the modeled prediction (see Appendix D for modeling instruction)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7D31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Energy use outside of a defined threshold of performance (+/- 10% for instance)</w:t>
            </w:r>
          </w:p>
        </w:tc>
      </w:tr>
      <w:tr w:rsidR="00E268FA" w:rsidRPr="00E268FA" w14:paraId="56C49B0A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10C9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Meter data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A2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Flag when meter has failed. A time series graph may be used to visually identify a gap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AF1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Large or repetitive (</w:t>
            </w:r>
            <w:proofErr w:type="gramStart"/>
            <w:r w:rsidRPr="00E268FA">
              <w:rPr>
                <w:rFonts w:eastAsia="Calibri" w:cs="Arial"/>
              </w:rPr>
              <w:t>i.e.</w:t>
            </w:r>
            <w:proofErr w:type="gramEnd"/>
            <w:r w:rsidRPr="00E268FA">
              <w:rPr>
                <w:rFonts w:eastAsia="Calibri" w:cs="Arial"/>
              </w:rPr>
              <w:t xml:space="preserve"> at regular intervals) gaps in Energy data</w:t>
            </w:r>
          </w:p>
        </w:tc>
      </w:tr>
      <w:tr w:rsidR="00E268FA" w:rsidRPr="00E268FA" w14:paraId="53581B66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A027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Energy Savings/M&amp;V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E9FB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The cumulative annual Energy savings, or % change in Energy use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3F05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Model statistics are within the thresholds set</w:t>
            </w:r>
          </w:p>
          <w:p w14:paraId="60DF479B" w14:textId="77777777" w:rsidR="00E268FA" w:rsidRPr="00E268FA" w:rsidRDefault="00E268FA" w:rsidP="00E268FA">
            <w:pPr>
              <w:rPr>
                <w:rFonts w:eastAsia="Calibri" w:cs="Arial"/>
              </w:rPr>
            </w:pPr>
          </w:p>
          <w:p w14:paraId="70CAE643" w14:textId="77777777" w:rsidR="00E268FA" w:rsidRPr="00E268FA" w:rsidRDefault="00E268FA" w:rsidP="00E268FA">
            <w:pPr>
              <w:rPr>
                <w:rFonts w:eastAsia="Calibri" w:cs="Arial"/>
              </w:rPr>
            </w:pPr>
          </w:p>
          <w:p w14:paraId="32F09A31" w14:textId="77777777" w:rsidR="00E268FA" w:rsidRPr="00E268FA" w:rsidRDefault="00E268FA" w:rsidP="00E268FA">
            <w:pPr>
              <w:rPr>
                <w:rFonts w:eastAsia="Calibri" w:cs="Arial"/>
              </w:rPr>
            </w:pPr>
          </w:p>
        </w:tc>
      </w:tr>
      <w:tr w:rsidR="00E268FA" w:rsidRPr="00E268FA" w14:paraId="41731CAB" w14:textId="77777777" w:rsidTr="008065AC">
        <w:trPr>
          <w:cantSplit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61FEA79" w14:textId="77777777" w:rsidR="00E268FA" w:rsidRPr="00E268FA" w:rsidRDefault="00E268FA" w:rsidP="00E268FA">
            <w:pPr>
              <w:jc w:val="center"/>
              <w:rPr>
                <w:b/>
              </w:rPr>
            </w:pPr>
            <w:r w:rsidRPr="00E268FA">
              <w:rPr>
                <w:b/>
              </w:rPr>
              <w:t>System-level Key Performance Indicators</w:t>
            </w:r>
          </w:p>
        </w:tc>
      </w:tr>
      <w:tr w:rsidR="00E268FA" w:rsidRPr="00E268FA" w14:paraId="40FF424A" w14:textId="77777777" w:rsidTr="008065AC">
        <w:trPr>
          <w:cantSplit/>
          <w:trHeight w:val="47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781F9792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Checkpoint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hideMark/>
          </w:tcPr>
          <w:p w14:paraId="6F06B8DE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>EMIS View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</w:tcPr>
          <w:p w14:paraId="6FEF0E2A" w14:textId="77777777" w:rsidR="00E268FA" w:rsidRPr="00E268FA" w:rsidRDefault="00E268FA" w:rsidP="00E268FA">
            <w:pPr>
              <w:jc w:val="left"/>
              <w:rPr>
                <w:rFonts w:eastAsia="Calibri" w:cs="Arial"/>
                <w:b/>
                <w:bCs/>
              </w:rPr>
            </w:pPr>
            <w:r w:rsidRPr="00E268FA">
              <w:rPr>
                <w:rFonts w:eastAsia="Calibri" w:cs="Arial"/>
                <w:b/>
                <w:bCs/>
              </w:rPr>
              <w:t xml:space="preserve">What to look for </w:t>
            </w:r>
            <w:r w:rsidRPr="00E268FA">
              <w:rPr>
                <w:rFonts w:eastAsia="Calibri" w:cs="Arial"/>
                <w:b/>
                <w:bCs/>
                <w:sz w:val="16"/>
                <w:szCs w:val="16"/>
              </w:rPr>
              <w:t>(Establish Facility benchmarks after commissioning)</w:t>
            </w:r>
          </w:p>
        </w:tc>
      </w:tr>
      <w:tr w:rsidR="00E268FA" w:rsidRPr="00E268FA" w14:paraId="28B7B0BC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36B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lastRenderedPageBreak/>
              <w:t>BMS Override Report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FDE1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Building automation system override summary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687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Identify overrides that should not be in place. Overrides often point to larger system control or performance issues</w:t>
            </w:r>
          </w:p>
        </w:tc>
      </w:tr>
      <w:tr w:rsidR="00E268FA" w:rsidRPr="00E268FA" w14:paraId="2902E0BD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F58A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BMS Alarm Report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6F6B" w14:textId="2402994F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List of recent alarms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563B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Identify patterns in which systems are alarming. Potentially create </w:t>
            </w:r>
            <w:r w:rsidRPr="00E268FA">
              <w:rPr>
                <w:rFonts w:cs="Arial"/>
              </w:rPr>
              <w:t>Fault Detection and Diagnosis (</w:t>
            </w:r>
            <w:r w:rsidRPr="00E268FA">
              <w:rPr>
                <w:rFonts w:eastAsia="Calibri" w:cs="Arial"/>
              </w:rPr>
              <w:t>FDD) rules to help troubleshoot alarms</w:t>
            </w:r>
          </w:p>
        </w:tc>
      </w:tr>
      <w:tr w:rsidR="00E268FA" w:rsidRPr="00E268FA" w14:paraId="5FDE7B21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7B30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Occupant Comfort Index (%)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A0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% of operating hours spent within zone target temperature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0B4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Measure for each zone or collection of zones. Track average, minimum, and maximum values for each building</w:t>
            </w:r>
          </w:p>
        </w:tc>
      </w:tr>
      <w:tr w:rsidR="00E268FA" w:rsidRPr="00E268FA" w14:paraId="4118003D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6F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Cooling Plant Efficiency (kW/ton)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B80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kilowatt (kW)/ton daily profile </w:t>
            </w:r>
          </w:p>
          <w:p w14:paraId="7951085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Daily Average (kW/ton)/ton </w:t>
            </w:r>
          </w:p>
          <w:p w14:paraId="34BACDB9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kW of entire plant preferred, but pump metering is not always available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0872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Will vary based on load. Review kW/ton vs. ton plots over time to identify performance drift </w:t>
            </w:r>
          </w:p>
        </w:tc>
      </w:tr>
      <w:tr w:rsidR="00E268FA" w:rsidRPr="00E268FA" w14:paraId="31729CBE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3B1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Heating Plant Efficiency (%)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8DD9" w14:textId="77777777" w:rsidR="00E268FA" w:rsidRPr="00E268FA" w:rsidRDefault="00E268FA" w:rsidP="00E268FA">
            <w:pPr>
              <w:numPr>
                <w:ilvl w:val="0"/>
                <w:numId w:val="20"/>
              </w:num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kW (out)/kW (in)</w:t>
            </w:r>
          </w:p>
          <w:p w14:paraId="1AFE6A91" w14:textId="77777777" w:rsidR="00E268FA" w:rsidRPr="00E268FA" w:rsidRDefault="00E268FA" w:rsidP="00E268FA">
            <w:pPr>
              <w:numPr>
                <w:ilvl w:val="0"/>
                <w:numId w:val="20"/>
              </w:num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Review daily profile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010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Will vary based on load. Review efficiency vs. load plots over time to identify performance drift </w:t>
            </w:r>
          </w:p>
        </w:tc>
      </w:tr>
      <w:tr w:rsidR="00E268FA" w:rsidRPr="00E268FA" w14:paraId="00C40ED0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F7E6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Fan System Efficiency (%)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1FB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kW of supply/return/exhaust fans per cubic feet per minute (cfm) of airflow</w:t>
            </w:r>
          </w:p>
          <w:p w14:paraId="54DF5990" w14:textId="77777777" w:rsidR="00E268FA" w:rsidRPr="00E268FA" w:rsidRDefault="00E268FA" w:rsidP="00E268FA">
            <w:pPr>
              <w:rPr>
                <w:rFonts w:eastAsia="Calibri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B10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Will vary based on load. Look for variance between air handlers or performance drift</w:t>
            </w:r>
          </w:p>
        </w:tc>
      </w:tr>
      <w:tr w:rsidR="00E268FA" w:rsidRPr="00E268FA" w14:paraId="0058B64D" w14:textId="77777777" w:rsidTr="008065AC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E54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Chilled water delta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D77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Daily average difference in chilled water supply and return temperatures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8239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If there is an insufficient temperature difference, investigate over-pumping or other issues</w:t>
            </w:r>
          </w:p>
        </w:tc>
      </w:tr>
    </w:tbl>
    <w:p w14:paraId="66566988" w14:textId="77777777" w:rsidR="00E268FA" w:rsidRPr="00E268FA" w:rsidRDefault="00E268FA" w:rsidP="00E268FA">
      <w:pPr>
        <w:jc w:val="left"/>
        <w:rPr>
          <w:b/>
          <w:iCs/>
        </w:rPr>
      </w:pPr>
      <w:r w:rsidRPr="00E268FA">
        <w:rPr>
          <w:b/>
          <w:iCs/>
        </w:rPr>
        <w:t>Table 1: Monitoring Action Plan – Checkpoints and Metrics</w:t>
      </w:r>
    </w:p>
    <w:p w14:paraId="1C1B8424" w14:textId="77777777" w:rsidR="00E268FA" w:rsidRPr="00E268FA" w:rsidRDefault="00E268FA" w:rsidP="00E268FA">
      <w:pPr>
        <w:rPr>
          <w:rFonts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785"/>
        <w:gridCol w:w="6708"/>
      </w:tblGrid>
      <w:tr w:rsidR="00E268FA" w:rsidRPr="00E268FA" w14:paraId="7F4AAA22" w14:textId="77777777" w:rsidTr="00D85659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6A912FF" w14:textId="77777777" w:rsidR="00E268FA" w:rsidRPr="00E268FA" w:rsidRDefault="00E268FA" w:rsidP="00E268FA">
            <w:pPr>
              <w:rPr>
                <w:b/>
              </w:rPr>
            </w:pPr>
            <w:r w:rsidRPr="00E268FA">
              <w:rPr>
                <w:b/>
              </w:rPr>
              <w:t>Fault Detection and Diagnosis</w:t>
            </w:r>
          </w:p>
        </w:tc>
      </w:tr>
      <w:tr w:rsidR="00E268FA" w:rsidRPr="00E268FA" w14:paraId="572FEA4E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6DD0F6" w14:textId="77777777" w:rsidR="00E268FA" w:rsidRPr="00E268FA" w:rsidRDefault="00E268FA" w:rsidP="00E268FA">
            <w:pPr>
              <w:rPr>
                <w:rFonts w:eastAsia="Calibri"/>
                <w:b/>
              </w:rPr>
            </w:pPr>
            <w:r w:rsidRPr="00E268FA">
              <w:rPr>
                <w:rFonts w:eastAsia="Calibri"/>
                <w:b/>
              </w:rPr>
              <w:t>Faults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5F65BE4" w14:textId="77777777" w:rsidR="00E268FA" w:rsidRPr="00E268FA" w:rsidRDefault="00E268FA" w:rsidP="00E268FA">
            <w:pPr>
              <w:rPr>
                <w:rFonts w:eastAsia="Calibri"/>
                <w:b/>
              </w:rPr>
            </w:pPr>
            <w:r w:rsidRPr="00E268FA">
              <w:rPr>
                <w:rFonts w:eastAsia="Calibri"/>
                <w:b/>
              </w:rPr>
              <w:t xml:space="preserve">FDD Tool Analysis </w:t>
            </w:r>
          </w:p>
        </w:tc>
      </w:tr>
      <w:tr w:rsidR="00E268FA" w:rsidRPr="00E268FA" w14:paraId="04D9E97E" w14:textId="77777777" w:rsidTr="00D85659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643CA02E" w14:textId="77777777" w:rsidR="00E268FA" w:rsidRPr="00E268FA" w:rsidRDefault="00E268FA" w:rsidP="00E268FA">
            <w:pPr>
              <w:rPr>
                <w:rFonts w:cs="Arial"/>
                <w:b/>
                <w:bCs/>
              </w:rPr>
            </w:pPr>
            <w:r w:rsidRPr="00E268FA">
              <w:rPr>
                <w:rFonts w:cs="Arial"/>
                <w:b/>
                <w:bCs/>
              </w:rPr>
              <w:t>General Faults</w:t>
            </w:r>
          </w:p>
        </w:tc>
      </w:tr>
      <w:tr w:rsidR="00E268FA" w:rsidRPr="00E268FA" w14:paraId="100979F6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4604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Schedules </w:t>
            </w:r>
            <w:r w:rsidRPr="00E268FA">
              <w:rPr>
                <w:rFonts w:cs="Arial"/>
              </w:rPr>
              <w:t>(AHUs), terminal units, chillers, boilers, pumps, cooling towers, plug and process loads, and garage exhaust fans)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C69E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Check if equipment is operating out of hours.</w:t>
            </w:r>
          </w:p>
        </w:tc>
      </w:tr>
      <w:tr w:rsidR="00E268FA" w:rsidRPr="00E268FA" w14:paraId="5702EA91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8EA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Manual override </w:t>
            </w:r>
            <w:r w:rsidRPr="00E268FA">
              <w:rPr>
                <w:rFonts w:cs="Arial"/>
              </w:rPr>
              <w:t>(AHUs, terminal units, chillers, boilers, pumps, and cooling towers)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B1E2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eastAsia="Calibri" w:cs="Arial"/>
              </w:rPr>
              <w:t xml:space="preserve">Identify overrides that should not be in place. </w:t>
            </w:r>
          </w:p>
        </w:tc>
      </w:tr>
      <w:tr w:rsidR="00E268FA" w:rsidRPr="00E268FA" w14:paraId="72402C90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90B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Controllers (actuators/valves/speed drives)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C196" w14:textId="77777777" w:rsidR="00E268FA" w:rsidRPr="00E268FA" w:rsidRDefault="00E268FA" w:rsidP="00E268FA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Compare controller output set-points to the actual condition to find failed devices.</w:t>
            </w:r>
          </w:p>
          <w:p w14:paraId="3ACD54EF" w14:textId="77777777" w:rsidR="00E268FA" w:rsidRPr="00E268FA" w:rsidRDefault="00E268FA" w:rsidP="00E268FA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Determine the stability of controllers.</w:t>
            </w:r>
          </w:p>
        </w:tc>
      </w:tr>
      <w:tr w:rsidR="00E268FA" w:rsidRPr="00E268FA" w14:paraId="76B61315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850E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Dampers (</w:t>
            </w:r>
            <w:r w:rsidRPr="00E268FA">
              <w:rPr>
                <w:rFonts w:cs="Arial"/>
              </w:rPr>
              <w:t>AHUs, terminal units)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1D8F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Identify if a damper is stuck open, closed, or at a fixed position, or leaking</w:t>
            </w:r>
          </w:p>
          <w:p w14:paraId="47ADEEFC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(</w:t>
            </w:r>
            <w:proofErr w:type="gramStart"/>
            <w:r w:rsidRPr="00E268FA">
              <w:rPr>
                <w:rFonts w:cs="Arial"/>
              </w:rPr>
              <w:t>i.e.</w:t>
            </w:r>
            <w:proofErr w:type="gramEnd"/>
            <w:r w:rsidRPr="00E268FA">
              <w:rPr>
                <w:rFonts w:cs="Arial"/>
              </w:rPr>
              <w:t xml:space="preserve"> compare mixed air temperature to return air temperature with outdoor air damper closed).</w:t>
            </w:r>
          </w:p>
        </w:tc>
      </w:tr>
      <w:tr w:rsidR="00E268FA" w:rsidRPr="00E268FA" w14:paraId="74B06DD3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0F27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Cooling/heating/precooling/preheating/</w:t>
            </w:r>
            <w:r w:rsidRPr="00E268FA">
              <w:rPr>
                <w:rFonts w:eastAsia="Calibri" w:cs="Arial"/>
              </w:rPr>
              <w:br/>
              <w:t>reheating valve and coils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532" w14:textId="77777777" w:rsidR="00E268FA" w:rsidRPr="00E268FA" w:rsidRDefault="00E268FA" w:rsidP="00E268FA">
            <w:pPr>
              <w:numPr>
                <w:ilvl w:val="0"/>
                <w:numId w:val="14"/>
              </w:num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Identify if a valve is stuck or leaking.</w:t>
            </w:r>
          </w:p>
          <w:p w14:paraId="784E7376" w14:textId="77777777" w:rsidR="00E268FA" w:rsidRPr="00E268FA" w:rsidRDefault="00E268FA" w:rsidP="00E268FA">
            <w:pPr>
              <w:numPr>
                <w:ilvl w:val="0"/>
                <w:numId w:val="14"/>
              </w:num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Identify a fouled or blocked coil (</w:t>
            </w:r>
            <w:proofErr w:type="gramStart"/>
            <w:r w:rsidRPr="00E268FA">
              <w:rPr>
                <w:rFonts w:eastAsia="Calibri" w:cs="Arial"/>
              </w:rPr>
              <w:t>i.e.</w:t>
            </w:r>
            <w:proofErr w:type="gramEnd"/>
            <w:r w:rsidRPr="00E268FA">
              <w:rPr>
                <w:rFonts w:eastAsia="Calibri" w:cs="Arial"/>
              </w:rPr>
              <w:t xml:space="preserve"> a temperature difference exists across a coil when a valve is shut or not achieving a desired temperature drop across a coil when a valve is open).</w:t>
            </w:r>
          </w:p>
        </w:tc>
      </w:tr>
      <w:tr w:rsidR="00E268FA" w:rsidRPr="00E268FA" w14:paraId="4ABBEAFB" w14:textId="77777777" w:rsidTr="00D85659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2F723083" w14:textId="77777777" w:rsidR="00E268FA" w:rsidRPr="00E268FA" w:rsidRDefault="00E268FA" w:rsidP="00E268FA">
            <w:pPr>
              <w:rPr>
                <w:rFonts w:cs="Arial"/>
                <w:b/>
                <w:bCs/>
              </w:rPr>
            </w:pPr>
            <w:r w:rsidRPr="00E268FA">
              <w:rPr>
                <w:rFonts w:cs="Arial"/>
                <w:b/>
                <w:bCs/>
              </w:rPr>
              <w:lastRenderedPageBreak/>
              <w:t>Air Handler Faults</w:t>
            </w:r>
          </w:p>
        </w:tc>
      </w:tr>
      <w:tr w:rsidR="00E268FA" w:rsidRPr="00E268FA" w14:paraId="4E9DE025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6D69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Economizer operation/use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20E5" w14:textId="77777777" w:rsidR="00E268FA" w:rsidRPr="00E268FA" w:rsidRDefault="00E268FA" w:rsidP="00E268FA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if the RTU or AHU is not economizing when it should.</w:t>
            </w:r>
          </w:p>
          <w:p w14:paraId="3BA6E388" w14:textId="77777777" w:rsidR="00E268FA" w:rsidRPr="00E268FA" w:rsidRDefault="00E268FA" w:rsidP="00E268FA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if the RTU/AHU is economizing when it should not (</w:t>
            </w:r>
            <w:proofErr w:type="gramStart"/>
            <w:r w:rsidRPr="00E268FA">
              <w:rPr>
                <w:rFonts w:cs="Arial"/>
              </w:rPr>
              <w:t>i.e.</w:t>
            </w:r>
            <w:proofErr w:type="gramEnd"/>
            <w:r w:rsidRPr="00E268FA">
              <w:rPr>
                <w:rFonts w:cs="Arial"/>
              </w:rPr>
              <w:t xml:space="preserve"> calculate relevant theoretical outdoor air ratio with outdoor air temperature, return air temperature, and mix air temperature).</w:t>
            </w:r>
          </w:p>
          <w:p w14:paraId="0C73B971" w14:textId="4F86C398" w:rsidR="00E268FA" w:rsidRPr="00E268FA" w:rsidRDefault="00E268FA" w:rsidP="00E268FA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if the economizer lockout set point is too high or low.</w:t>
            </w:r>
          </w:p>
        </w:tc>
      </w:tr>
      <w:tr w:rsidR="00E268FA" w:rsidRPr="00E268FA" w14:paraId="2330F08F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8D8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Ventilation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024D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Ensure that the ventilation rate is adequate. Detects if the RTU/AHU is bringing in too much outside air when not in economizer mode.</w:t>
            </w:r>
          </w:p>
        </w:tc>
      </w:tr>
      <w:tr w:rsidR="00E268FA" w:rsidRPr="00E268FA" w14:paraId="6FD01630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5459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Simultaneous heating and cooling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AF39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Detect if unnecessary heating, economizer cooling, and/or mechanical cooling happen at the same time.</w:t>
            </w:r>
          </w:p>
        </w:tc>
      </w:tr>
      <w:tr w:rsidR="00E268FA" w:rsidRPr="00E268FA" w14:paraId="5BF57423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32A4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Discharge air temperature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7327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Identify if the discharge air temperature set point is a fixed value or does not vary through the reset range. Confirm that the point is not frequently pegged to an upper or lower limit.</w:t>
            </w:r>
          </w:p>
        </w:tc>
      </w:tr>
      <w:tr w:rsidR="00E268FA" w:rsidRPr="00E268FA" w14:paraId="66C7CB75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3BCD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Duct static pressure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268E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Identify if the duct static pressure set point is a fixed value or does not vary through the range. Confirm that the point is not frequently pegged to an upper or lower limit.</w:t>
            </w:r>
          </w:p>
        </w:tc>
      </w:tr>
      <w:tr w:rsidR="00E268FA" w:rsidRPr="00E268FA" w14:paraId="696FD091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3859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Sensors 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76F1" w14:textId="77777777" w:rsidR="00E268FA" w:rsidRPr="00E268FA" w:rsidRDefault="00E268FA" w:rsidP="00E268FA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E268FA">
              <w:rPr>
                <w:rFonts w:eastAsia="Calibri" w:cs="Arial"/>
              </w:rPr>
              <w:t xml:space="preserve">Critical sensors: Outdoor air, </w:t>
            </w:r>
            <w:r w:rsidRPr="00E268FA">
              <w:rPr>
                <w:rFonts w:cs="Arial"/>
              </w:rPr>
              <w:t>discharge air, return air, and mixed air temperature; wet bulb temperature or relative humidity; pressure; airflow rates.</w:t>
            </w:r>
          </w:p>
          <w:p w14:paraId="4EE2AF67" w14:textId="77777777" w:rsidR="00E268FA" w:rsidRPr="00E268FA" w:rsidRDefault="00E268FA" w:rsidP="00E268FA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flatlining, bias, drift, or failure in sensor or if the sensor is outside of a feasible range.</w:t>
            </w:r>
          </w:p>
        </w:tc>
      </w:tr>
      <w:tr w:rsidR="00E268FA" w:rsidRPr="00E268FA" w14:paraId="69553942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35D4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Dirty Filter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AFC1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Determine if the air filter needs replacement (</w:t>
            </w:r>
            <w:proofErr w:type="gramStart"/>
            <w:r w:rsidRPr="00E268FA">
              <w:rPr>
                <w:rFonts w:cs="Arial"/>
              </w:rPr>
              <w:t>i.e.</w:t>
            </w:r>
            <w:proofErr w:type="gramEnd"/>
            <w:r w:rsidRPr="00E268FA">
              <w:rPr>
                <w:rFonts w:cs="Arial"/>
              </w:rPr>
              <w:t xml:space="preserve"> filter pressure drop outside specified range).</w:t>
            </w:r>
          </w:p>
        </w:tc>
      </w:tr>
      <w:tr w:rsidR="00E268FA" w:rsidRPr="00E268FA" w14:paraId="79EFCCE2" w14:textId="77777777" w:rsidTr="00D85659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5827C86" w14:textId="77777777" w:rsidR="00E268FA" w:rsidRPr="00E268FA" w:rsidRDefault="00E268FA" w:rsidP="00E268FA">
            <w:pPr>
              <w:jc w:val="left"/>
              <w:rPr>
                <w:rFonts w:cs="Arial"/>
                <w:b/>
                <w:bCs/>
              </w:rPr>
            </w:pPr>
            <w:r w:rsidRPr="00E268FA">
              <w:rPr>
                <w:rFonts w:cs="Arial"/>
                <w:b/>
                <w:bCs/>
              </w:rPr>
              <w:t>Variable Air Volume (VAV) Box Faults</w:t>
            </w:r>
          </w:p>
        </w:tc>
      </w:tr>
      <w:tr w:rsidR="00E268FA" w:rsidRPr="00E268FA" w14:paraId="6FD44A65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00BF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Sensors 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88F5" w14:textId="77777777" w:rsidR="00E268FA" w:rsidRPr="00E268FA" w:rsidRDefault="00E268FA" w:rsidP="00E268FA">
            <w:pPr>
              <w:numPr>
                <w:ilvl w:val="0"/>
                <w:numId w:val="16"/>
              </w:numPr>
              <w:rPr>
                <w:rFonts w:eastAsia="Calibri" w:cs="Arial"/>
              </w:rPr>
            </w:pPr>
            <w:r w:rsidRPr="00E268FA">
              <w:rPr>
                <w:rFonts w:cs="Arial"/>
              </w:rPr>
              <w:t xml:space="preserve">Critical sensors: </w:t>
            </w:r>
            <w:r w:rsidRPr="00E268FA">
              <w:rPr>
                <w:rFonts w:eastAsia="Calibri" w:cs="Arial"/>
              </w:rPr>
              <w:t xml:space="preserve">space temperature, relative humidity, </w:t>
            </w:r>
            <w:r w:rsidRPr="00E268FA">
              <w:rPr>
                <w:rFonts w:cs="Arial"/>
              </w:rPr>
              <w:t>carbon dioxide,</w:t>
            </w:r>
            <w:r w:rsidRPr="00E268FA">
              <w:rPr>
                <w:rFonts w:eastAsia="Calibri" w:cs="Arial"/>
              </w:rPr>
              <w:t xml:space="preserve"> airflow rate. </w:t>
            </w:r>
          </w:p>
          <w:p w14:paraId="12AC1CA9" w14:textId="77777777" w:rsidR="00E268FA" w:rsidRPr="00E268FA" w:rsidRDefault="00E268FA" w:rsidP="00E268FA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flatlining, bias, drift, or failure in sensor, or if the sensor is outside of a feasible range.</w:t>
            </w:r>
          </w:p>
        </w:tc>
      </w:tr>
      <w:tr w:rsidR="00E268FA" w:rsidRPr="00E268FA" w14:paraId="3A77D1A0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FE13" w14:textId="77777777" w:rsidR="00E268FA" w:rsidRPr="00E268FA" w:rsidRDefault="00E268FA" w:rsidP="00E268FA">
            <w:pPr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Thermostat occupied/unoccupied cooling/heating set points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02A1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>Detect if the space cooling/heating set points dead band is not high enough.</w:t>
            </w:r>
          </w:p>
        </w:tc>
      </w:tr>
      <w:tr w:rsidR="00E268FA" w:rsidRPr="00E268FA" w14:paraId="1A2FE086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B9A0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Thermostat space temperature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E214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 xml:space="preserve">Identify if zones are outside of an acceptable temperature range over </w:t>
            </w:r>
            <w:proofErr w:type="gramStart"/>
            <w:r w:rsidRPr="00E268FA">
              <w:rPr>
                <w:rFonts w:cs="Arial"/>
              </w:rPr>
              <w:t>a period of time</w:t>
            </w:r>
            <w:proofErr w:type="gramEnd"/>
            <w:r w:rsidRPr="00E268FA">
              <w:rPr>
                <w:rFonts w:cs="Arial"/>
              </w:rPr>
              <w:t>. Indicate if the space is over/under cooled/heated or if there is a leaky/stuck VAV damper.</w:t>
            </w:r>
          </w:p>
        </w:tc>
      </w:tr>
      <w:tr w:rsidR="00E268FA" w:rsidRPr="00E268FA" w14:paraId="5959013B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448E" w14:textId="77777777" w:rsidR="00E268FA" w:rsidRPr="00E268FA" w:rsidRDefault="00E268FA" w:rsidP="00E268FA">
            <w:pPr>
              <w:rPr>
                <w:rFonts w:cs="Arial"/>
              </w:rPr>
            </w:pPr>
            <w:r w:rsidRPr="00E268FA">
              <w:rPr>
                <w:rFonts w:cs="Arial"/>
              </w:rPr>
              <w:t xml:space="preserve">VAV supply airflow 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C730" w14:textId="77777777" w:rsidR="00E268FA" w:rsidRPr="00E268FA" w:rsidRDefault="00E268FA" w:rsidP="00E268FA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if supply airflow is adequate to the zone (</w:t>
            </w:r>
            <w:proofErr w:type="gramStart"/>
            <w:r w:rsidRPr="00E268FA">
              <w:rPr>
                <w:rFonts w:cs="Arial"/>
              </w:rPr>
              <w:t>i.e.</w:t>
            </w:r>
            <w:proofErr w:type="gramEnd"/>
            <w:r w:rsidRPr="00E268FA">
              <w:rPr>
                <w:rFonts w:cs="Arial"/>
              </w:rPr>
              <w:t xml:space="preserve"> supply airflow is below the set point while the supply damper is fully open).</w:t>
            </w:r>
          </w:p>
          <w:p w14:paraId="405D60D7" w14:textId="77777777" w:rsidR="00E268FA" w:rsidRPr="00E268FA" w:rsidRDefault="00E268FA" w:rsidP="00E268FA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E268FA">
              <w:rPr>
                <w:rFonts w:cs="Arial"/>
              </w:rPr>
              <w:t>Detect if supply airflow is constantly at maximum flow.</w:t>
            </w:r>
          </w:p>
        </w:tc>
      </w:tr>
      <w:tr w:rsidR="00E268FA" w:rsidRPr="00E268FA" w14:paraId="44F48F94" w14:textId="77777777" w:rsidTr="00D85659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46910834" w14:textId="77777777" w:rsidR="00E268FA" w:rsidRPr="00E268FA" w:rsidRDefault="00E268FA" w:rsidP="00E268FA">
            <w:pPr>
              <w:jc w:val="left"/>
              <w:rPr>
                <w:rFonts w:cs="Arial"/>
                <w:b/>
                <w:bCs/>
              </w:rPr>
            </w:pPr>
            <w:r w:rsidRPr="00E268FA">
              <w:rPr>
                <w:rFonts w:cs="Arial"/>
                <w:b/>
                <w:bCs/>
              </w:rPr>
              <w:t>Chilled Water Plant Faults</w:t>
            </w:r>
          </w:p>
        </w:tc>
      </w:tr>
      <w:tr w:rsidR="00E268FA" w:rsidRPr="00E268FA" w14:paraId="495D4842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EEB0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Sensors 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D28C" w14:textId="77777777" w:rsidR="00E268FA" w:rsidRPr="00E268FA" w:rsidRDefault="00E268FA" w:rsidP="00E268FA">
            <w:pPr>
              <w:numPr>
                <w:ilvl w:val="0"/>
                <w:numId w:val="19"/>
              </w:num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Critical sensors: Chiller, and cooling tower leaving and return water temperatures; chilled water flow rate; pressure.</w:t>
            </w:r>
          </w:p>
          <w:p w14:paraId="7C5AFB07" w14:textId="77777777" w:rsidR="00E268FA" w:rsidRPr="00E268FA" w:rsidRDefault="00E268FA" w:rsidP="00E268FA">
            <w:pPr>
              <w:numPr>
                <w:ilvl w:val="0"/>
                <w:numId w:val="19"/>
              </w:num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Detect flatlining, bias, drift, or failure in sensor, or if the sensor is outside of a feasible range.</w:t>
            </w:r>
          </w:p>
        </w:tc>
      </w:tr>
      <w:tr w:rsidR="00E268FA" w:rsidRPr="00E268FA" w14:paraId="516EC3F9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EA9D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Chilled water plant lockout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4C53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lockout temperature is too low.</w:t>
            </w:r>
          </w:p>
        </w:tc>
      </w:tr>
      <w:tr w:rsidR="00E268FA" w:rsidRPr="00E268FA" w14:paraId="3009ED82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0DA9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Chiller leaving water temperature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DCF2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chiller leaving water temperature set point is a fixed value or does not vary through the reset range.</w:t>
            </w:r>
          </w:p>
        </w:tc>
      </w:tr>
      <w:tr w:rsidR="00E268FA" w:rsidRPr="00E268FA" w14:paraId="58AF17ED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538B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Tower leaving water temperature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C1A2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tower water temperature set point is a fixed value or does not vary through the reset range.</w:t>
            </w:r>
          </w:p>
        </w:tc>
      </w:tr>
      <w:tr w:rsidR="00E268FA" w:rsidRPr="00E268FA" w14:paraId="2070D1DD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227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Hydronic differential pressure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30F4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h</w:t>
            </w:r>
            <w:r w:rsidRPr="00E268FA">
              <w:rPr>
                <w:rFonts w:eastAsia="Calibri" w:cs="Arial"/>
              </w:rPr>
              <w:t xml:space="preserve">ydronic differential pressure </w:t>
            </w:r>
            <w:r w:rsidRPr="00E268FA">
              <w:rPr>
                <w:rFonts w:cs="Arial"/>
              </w:rPr>
              <w:t>set point is a fixed value or does not vary through the reset range.</w:t>
            </w:r>
          </w:p>
        </w:tc>
      </w:tr>
      <w:tr w:rsidR="00E268FA" w:rsidRPr="00E268FA" w14:paraId="7F2A90AE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E13B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Chiller short cycling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5505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chiller is cycling too frequently.</w:t>
            </w:r>
          </w:p>
        </w:tc>
      </w:tr>
      <w:tr w:rsidR="00E268FA" w:rsidRPr="00E268FA" w14:paraId="323A4642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AC2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Cooling tower fan cycling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5E94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fan is cycling too frequently.</w:t>
            </w:r>
          </w:p>
        </w:tc>
      </w:tr>
      <w:tr w:rsidR="00E268FA" w:rsidRPr="00E268FA" w14:paraId="7F50E099" w14:textId="77777777" w:rsidTr="00D85659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0A61A70" w14:textId="77777777" w:rsidR="00E268FA" w:rsidRPr="00E268FA" w:rsidRDefault="00E268FA" w:rsidP="00E268FA">
            <w:pPr>
              <w:jc w:val="left"/>
              <w:rPr>
                <w:rFonts w:cs="Arial"/>
                <w:b/>
                <w:bCs/>
              </w:rPr>
            </w:pPr>
            <w:r w:rsidRPr="00E268FA">
              <w:rPr>
                <w:rFonts w:cs="Arial"/>
                <w:b/>
                <w:bCs/>
              </w:rPr>
              <w:lastRenderedPageBreak/>
              <w:t>Hot Water Plant Faults</w:t>
            </w:r>
          </w:p>
        </w:tc>
      </w:tr>
      <w:tr w:rsidR="00E268FA" w:rsidRPr="00E268FA" w14:paraId="00637C41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4A56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 xml:space="preserve">Sensors 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BB42" w14:textId="77777777" w:rsidR="00E268FA" w:rsidRPr="00E268FA" w:rsidRDefault="00E268FA" w:rsidP="00E268FA">
            <w:pPr>
              <w:numPr>
                <w:ilvl w:val="0"/>
                <w:numId w:val="18"/>
              </w:num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 xml:space="preserve">Critical sensors: </w:t>
            </w:r>
            <w:r w:rsidRPr="00E268FA">
              <w:rPr>
                <w:rFonts w:eastAsia="Calibri" w:cs="Arial"/>
              </w:rPr>
              <w:t>Boiler</w:t>
            </w:r>
            <w:r w:rsidRPr="00E268FA">
              <w:rPr>
                <w:rFonts w:cs="Arial"/>
              </w:rPr>
              <w:t xml:space="preserve"> leaving and return water temperatures; hot water flow rate; pressure.</w:t>
            </w:r>
          </w:p>
          <w:p w14:paraId="7E3989AC" w14:textId="77777777" w:rsidR="00E268FA" w:rsidRPr="00E268FA" w:rsidRDefault="00E268FA" w:rsidP="00E268FA">
            <w:pPr>
              <w:numPr>
                <w:ilvl w:val="0"/>
                <w:numId w:val="18"/>
              </w:num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Detect flatlining, bias, drift, or failure in sensor or if the sensor is outside of a feasible range.</w:t>
            </w:r>
          </w:p>
        </w:tc>
      </w:tr>
      <w:tr w:rsidR="00E268FA" w:rsidRPr="00E268FA" w14:paraId="462E6488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8B54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Hot water plant lockout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D476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lockout temperature is too high or if the boiler is in operation when no heating load exists.</w:t>
            </w:r>
          </w:p>
        </w:tc>
      </w:tr>
      <w:tr w:rsidR="00E268FA" w:rsidRPr="00E268FA" w14:paraId="60E930E1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8C3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Boiler leaving water temperature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90C8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boiler leaving water temperature set point is a fixed value or does not vary through the reset range.</w:t>
            </w:r>
          </w:p>
        </w:tc>
      </w:tr>
      <w:tr w:rsidR="00E268FA" w:rsidRPr="00E268FA" w14:paraId="39974716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AFA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Hydronic differential pressure reset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D098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h</w:t>
            </w:r>
            <w:r w:rsidRPr="00E268FA">
              <w:rPr>
                <w:rFonts w:eastAsia="Calibri" w:cs="Arial"/>
              </w:rPr>
              <w:t xml:space="preserve">ydronic differential pressure </w:t>
            </w:r>
            <w:r w:rsidRPr="00E268FA">
              <w:rPr>
                <w:rFonts w:cs="Arial"/>
              </w:rPr>
              <w:t>set point is a fixed value or does not vary through the reset range.</w:t>
            </w:r>
          </w:p>
        </w:tc>
      </w:tr>
      <w:tr w:rsidR="00E268FA" w:rsidRPr="00E268FA" w14:paraId="6FBC6E65" w14:textId="77777777" w:rsidTr="00D85659">
        <w:trPr>
          <w:cantSplit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F82C" w14:textId="77777777" w:rsidR="00E268FA" w:rsidRPr="00E268FA" w:rsidRDefault="00E268FA" w:rsidP="00E268FA">
            <w:pPr>
              <w:jc w:val="left"/>
              <w:rPr>
                <w:rFonts w:eastAsia="Calibri" w:cs="Arial"/>
              </w:rPr>
            </w:pPr>
            <w:r w:rsidRPr="00E268FA">
              <w:rPr>
                <w:rFonts w:eastAsia="Calibri" w:cs="Arial"/>
              </w:rPr>
              <w:t>Boiler short cycling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061" w14:textId="77777777" w:rsidR="00E268FA" w:rsidRPr="00E268FA" w:rsidRDefault="00E268FA" w:rsidP="00E268FA">
            <w:pPr>
              <w:jc w:val="left"/>
              <w:rPr>
                <w:rFonts w:cs="Arial"/>
              </w:rPr>
            </w:pPr>
            <w:r w:rsidRPr="00E268FA">
              <w:rPr>
                <w:rFonts w:cs="Arial"/>
              </w:rPr>
              <w:t>Identify if the boiler cycles on and off too frequently.</w:t>
            </w:r>
          </w:p>
        </w:tc>
      </w:tr>
    </w:tbl>
    <w:p w14:paraId="2AE40BA2" w14:textId="77777777" w:rsidR="00E268FA" w:rsidRPr="00E268FA" w:rsidRDefault="00E268FA" w:rsidP="00E268FA">
      <w:pPr>
        <w:jc w:val="left"/>
        <w:rPr>
          <w:b/>
          <w:iCs/>
        </w:rPr>
      </w:pPr>
      <w:r w:rsidRPr="00E268FA">
        <w:rPr>
          <w:b/>
          <w:iCs/>
        </w:rPr>
        <w:t>Table 2: Monitoring Action Plan – Fault Detection and Diagnosis</w:t>
      </w:r>
    </w:p>
    <w:p w14:paraId="286F7707" w14:textId="77777777" w:rsidR="00F26892" w:rsidRDefault="00F26892" w:rsidP="00F26892"/>
    <w:sectPr w:rsidR="00F26892" w:rsidSect="00E268FA">
      <w:headerReference w:type="default" r:id="rId11"/>
      <w:footerReference w:type="even" r:id="rId12"/>
      <w:footerReference w:type="default" r:id="rId13"/>
      <w:pgSz w:w="11907" w:h="16840" w:code="9"/>
      <w:pgMar w:top="1015" w:right="1134" w:bottom="1077" w:left="1418" w:header="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C02ED" w14:textId="77777777" w:rsidR="00A178FF" w:rsidRDefault="00A178FF">
      <w:r>
        <w:separator/>
      </w:r>
    </w:p>
    <w:p w14:paraId="5B39080D" w14:textId="77777777" w:rsidR="00A178FF" w:rsidRDefault="00A178FF"/>
  </w:endnote>
  <w:endnote w:type="continuationSeparator" w:id="0">
    <w:p w14:paraId="5614D77D" w14:textId="77777777" w:rsidR="00A178FF" w:rsidRDefault="00A178FF">
      <w:r>
        <w:continuationSeparator/>
      </w:r>
    </w:p>
    <w:p w14:paraId="789BC84C" w14:textId="77777777" w:rsidR="00A178FF" w:rsidRDefault="00A17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5955" w14:textId="77777777" w:rsidR="00170F79" w:rsidRDefault="00170F79" w:rsidP="00170F79">
    <w:pPr>
      <w:pStyle w:val="Footer"/>
      <w:tabs>
        <w:tab w:val="center" w:pos="3261"/>
      </w:tabs>
    </w:pPr>
  </w:p>
  <w:p w14:paraId="4975DEB7" w14:textId="77777777" w:rsidR="002568BD" w:rsidRDefault="002568BD" w:rsidP="00170F79">
    <w:pPr>
      <w:tabs>
        <w:tab w:val="center" w:pos="3261"/>
      </w:tabs>
    </w:pPr>
  </w:p>
  <w:p w14:paraId="271F916F" w14:textId="77777777" w:rsidR="002568BD" w:rsidRDefault="002568BD" w:rsidP="00170F79">
    <w:pPr>
      <w:tabs>
        <w:tab w:val="center" w:pos="3261"/>
        <w:tab w:val="center" w:pos="4111"/>
      </w:tabs>
    </w:pPr>
  </w:p>
  <w:p w14:paraId="01455B2B" w14:textId="77777777" w:rsidR="002568BD" w:rsidRDefault="002568BD" w:rsidP="00170F79">
    <w:pPr>
      <w:tabs>
        <w:tab w:val="center" w:pos="3261"/>
        <w:tab w:val="center" w:pos="3969"/>
        <w:tab w:val="center" w:pos="4111"/>
      </w:tabs>
    </w:pPr>
  </w:p>
  <w:p w14:paraId="24B12716" w14:textId="77777777" w:rsidR="002568BD" w:rsidRDefault="002568BD" w:rsidP="00170F79">
    <w:pPr>
      <w:tabs>
        <w:tab w:val="center" w:pos="3261"/>
        <w:tab w:val="center" w:pos="3686"/>
        <w:tab w:val="center" w:pos="3969"/>
        <w:tab w:val="center" w:pos="4111"/>
      </w:tabs>
    </w:pPr>
  </w:p>
  <w:p w14:paraId="5C9E9F78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F26ABF" w:rsidRPr="000D7FB7" w14:paraId="6F66B210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21E51162" w14:textId="60E2CDED" w:rsidR="00F26ABF" w:rsidRPr="000D7FB7" w:rsidRDefault="00F26ABF" w:rsidP="00F26ABF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EOM-ZN0-TP-000008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BD769A2346704BAAB6C10349612EA1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6BD898B1" w14:textId="77777777" w:rsidR="00F26ABF" w:rsidRPr="000D7FB7" w:rsidRDefault="00F26ABF" w:rsidP="00F26AB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F26ABF" w:rsidRPr="000D7FB7" w14:paraId="23240439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51CA0214" w14:textId="77777777" w:rsidR="00F26ABF" w:rsidRPr="006A7BFF" w:rsidRDefault="00F26ABF" w:rsidP="00F26AB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DBE9341" w14:textId="77777777" w:rsidR="00F26ABF" w:rsidRPr="000D7FB7" w:rsidRDefault="00F26ABF" w:rsidP="00F26AB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F26ABF" w:rsidRDefault="009210BF" w:rsidP="00F2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30259" w14:textId="77777777" w:rsidR="00A178FF" w:rsidRDefault="00A178FF">
      <w:r>
        <w:separator/>
      </w:r>
    </w:p>
    <w:p w14:paraId="75BDC4B4" w14:textId="77777777" w:rsidR="00A178FF" w:rsidRDefault="00A178FF"/>
  </w:footnote>
  <w:footnote w:type="continuationSeparator" w:id="0">
    <w:p w14:paraId="2F21143E" w14:textId="77777777" w:rsidR="00A178FF" w:rsidRDefault="00A178FF">
      <w:r>
        <w:continuationSeparator/>
      </w:r>
    </w:p>
    <w:p w14:paraId="231248D2" w14:textId="77777777" w:rsidR="00A178FF" w:rsidRDefault="00A17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E268FA">
      <w:trPr>
        <w:trHeight w:val="60"/>
      </w:trPr>
      <w:tc>
        <w:tcPr>
          <w:tcW w:w="2699" w:type="dxa"/>
        </w:tcPr>
        <w:p w14:paraId="01975BF5" w14:textId="4C6CA77E" w:rsidR="009210BF" w:rsidRDefault="009210BF" w:rsidP="00AC1B11">
          <w:pPr>
            <w:pStyle w:val="HeadingCenter"/>
            <w:jc w:val="both"/>
          </w:pPr>
        </w:p>
      </w:tc>
      <w:tc>
        <w:tcPr>
          <w:tcW w:w="8788" w:type="dxa"/>
          <w:vAlign w:val="center"/>
        </w:tcPr>
        <w:p w14:paraId="361EC67C" w14:textId="710F698E" w:rsidR="009210BF" w:rsidRPr="006A25F8" w:rsidRDefault="00E268FA" w:rsidP="00F26892">
          <w:pPr>
            <w:pStyle w:val="CPDocTitle"/>
            <w:tabs>
              <w:tab w:val="left" w:pos="6049"/>
            </w:tabs>
            <w:ind w:right="-2113" w:firstLine="33"/>
            <w:jc w:val="both"/>
            <w:rPr>
              <w:kern w:val="32"/>
              <w:sz w:val="24"/>
              <w:szCs w:val="24"/>
              <w:lang w:val="en-GB"/>
            </w:rPr>
          </w:pPr>
          <w:r w:rsidRPr="00E268FA">
            <w:rPr>
              <w:kern w:val="32"/>
              <w:sz w:val="24"/>
              <w:szCs w:val="24"/>
              <w:lang w:val="en-GB"/>
            </w:rPr>
            <w:t>Monitoring Action Plan Template</w:t>
          </w:r>
        </w:p>
      </w:tc>
    </w:tr>
  </w:tbl>
  <w:p w14:paraId="0FE4F66F" w14:textId="7F62778B" w:rsidR="009210BF" w:rsidRPr="00AC1B11" w:rsidRDefault="00F26ABF" w:rsidP="00170F79">
    <w:pPr>
      <w:pStyle w:val="Header"/>
      <w:tabs>
        <w:tab w:val="clear" w:pos="4153"/>
        <w:tab w:val="center" w:pos="3261"/>
      </w:tabs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73908503" wp14:editId="2AC2A1E7">
          <wp:simplePos x="0" y="0"/>
          <wp:positionH relativeFrom="column">
            <wp:posOffset>-838200</wp:posOffset>
          </wp:positionH>
          <wp:positionV relativeFrom="paragraph">
            <wp:posOffset>-403860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FD67F7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71A"/>
    <w:multiLevelType w:val="hybridMultilevel"/>
    <w:tmpl w:val="36084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66518"/>
    <w:multiLevelType w:val="hybridMultilevel"/>
    <w:tmpl w:val="23388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24042"/>
    <w:multiLevelType w:val="hybridMultilevel"/>
    <w:tmpl w:val="4F6E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84CF9"/>
    <w:multiLevelType w:val="hybridMultilevel"/>
    <w:tmpl w:val="5150E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87F7D"/>
    <w:multiLevelType w:val="hybridMultilevel"/>
    <w:tmpl w:val="3FE6B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943E83"/>
    <w:multiLevelType w:val="hybridMultilevel"/>
    <w:tmpl w:val="E910C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5B631B"/>
    <w:multiLevelType w:val="hybridMultilevel"/>
    <w:tmpl w:val="7824A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5929456C"/>
    <w:multiLevelType w:val="hybridMultilevel"/>
    <w:tmpl w:val="F4088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5549B6"/>
    <w:multiLevelType w:val="hybridMultilevel"/>
    <w:tmpl w:val="196E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16"/>
  </w:num>
  <w:num w:numId="6">
    <w:abstractNumId w:val="17"/>
  </w:num>
  <w:num w:numId="7">
    <w:abstractNumId w:val="0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 w:numId="16">
    <w:abstractNumId w:val="3"/>
  </w:num>
  <w:num w:numId="17">
    <w:abstractNumId w:val="19"/>
  </w:num>
  <w:num w:numId="18">
    <w:abstractNumId w:val="8"/>
  </w:num>
  <w:num w:numId="19">
    <w:abstractNumId w:val="14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71D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8BD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802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1E72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C35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8FF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5D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666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659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8FA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92"/>
    <w:rsid w:val="00F26994"/>
    <w:rsid w:val="00F26ABF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769A2346704BAAB6C10349612E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8275-1D34-4804-AA9E-0E9EC7B047BD}"/>
      </w:docPartPr>
      <w:docPartBody>
        <w:p w:rsidR="00000000" w:rsidRDefault="00203CA4" w:rsidP="00203CA4">
          <w:pPr>
            <w:pStyle w:val="BD769A2346704BAAB6C10349612EA1A7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A4"/>
    <w:rsid w:val="00203CA4"/>
    <w:rsid w:val="005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CA4"/>
    <w:rPr>
      <w:color w:val="808080"/>
    </w:rPr>
  </w:style>
  <w:style w:type="paragraph" w:customStyle="1" w:styleId="BD769A2346704BAAB6C10349612EA1A7">
    <w:name w:val="BD769A2346704BAAB6C10349612EA1A7"/>
    <w:rsid w:val="00203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EBE57-705A-475F-B87C-C9E1E2F0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74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8905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EOM-ZN0-TP-000008</dc:subject>
  <dc:creator>Rivamonte, Leonnito (RMP)</dc:creator>
  <cp:keywords>ᅟ</cp:keywords>
  <cp:lastModifiedBy>اسماء المطيري Asma Almutairi</cp:lastModifiedBy>
  <cp:revision>132</cp:revision>
  <cp:lastPrinted>2017-10-17T10:11:00Z</cp:lastPrinted>
  <dcterms:created xsi:type="dcterms:W3CDTF">2019-12-16T06:44:00Z</dcterms:created>
  <dcterms:modified xsi:type="dcterms:W3CDTF">2022-01-12T10:48:00Z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